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A7C5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抓基层党建工作述职报告</w:t>
      </w:r>
    </w:p>
    <w:p w14:paraId="6A263B63">
      <w:pPr>
        <w:keepNext w:val="0"/>
        <w:keepLines w:val="0"/>
        <w:pageBreakBefore w:val="0"/>
        <w:widowControl w:val="0"/>
        <w:kinsoku/>
        <w:wordWrap/>
        <w:overflowPunct/>
        <w:topLinePunct w:val="0"/>
        <w:autoSpaceDE/>
        <w:autoSpaceDN/>
        <w:bidi w:val="0"/>
        <w:adjustRightInd/>
        <w:snapToGrid/>
        <w:spacing w:before="443" w:beforeLines="100" w:after="443" w:afterLines="100" w:line="560" w:lineRule="exact"/>
        <w:jc w:val="center"/>
        <w:textAlignment w:val="auto"/>
        <w:rPr>
          <w:rFonts w:hint="default" w:ascii="Times New Roman" w:hAnsi="Times New Roman" w:eastAsia="仿宋" w:cs="Times New Roman"/>
          <w:sz w:val="32"/>
          <w:szCs w:val="36"/>
        </w:rPr>
      </w:pPr>
      <w:r>
        <w:rPr>
          <w:rFonts w:hint="eastAsia" w:ascii="Times New Roman" w:hAnsi="Times New Roman" w:eastAsia="楷体" w:cs="Times New Roman"/>
          <w:sz w:val="32"/>
          <w:szCs w:val="36"/>
          <w:lang w:val="en-US" w:eastAsia="zh-CN"/>
        </w:rPr>
        <w:t>信通专业研究生</w:t>
      </w:r>
      <w:r>
        <w:rPr>
          <w:rFonts w:hint="default" w:ascii="Times New Roman" w:hAnsi="Times New Roman" w:eastAsia="楷体" w:cs="Times New Roman"/>
          <w:sz w:val="32"/>
          <w:szCs w:val="36"/>
          <w:lang w:val="en-US" w:eastAsia="zh-CN"/>
        </w:rPr>
        <w:t>第</w:t>
      </w:r>
      <w:r>
        <w:rPr>
          <w:rFonts w:hint="eastAsia" w:ascii="Times New Roman" w:hAnsi="Times New Roman" w:eastAsia="楷体" w:cs="Times New Roman"/>
          <w:sz w:val="32"/>
          <w:szCs w:val="36"/>
          <w:lang w:val="en-US" w:eastAsia="zh-CN"/>
        </w:rPr>
        <w:t>一</w:t>
      </w:r>
      <w:r>
        <w:rPr>
          <w:rFonts w:hint="default" w:ascii="Times New Roman" w:hAnsi="Times New Roman" w:eastAsia="楷体" w:cs="Times New Roman"/>
          <w:sz w:val="32"/>
          <w:szCs w:val="36"/>
        </w:rPr>
        <w:t xml:space="preserve">党支部  </w:t>
      </w:r>
      <w:r>
        <w:rPr>
          <w:rFonts w:hint="eastAsia" w:ascii="Times New Roman" w:hAnsi="Times New Roman" w:eastAsia="楷体" w:cs="Times New Roman"/>
          <w:sz w:val="32"/>
          <w:szCs w:val="36"/>
          <w:lang w:eastAsia="zh-CN"/>
        </w:rPr>
        <w:t>邓函乔</w:t>
      </w:r>
    </w:p>
    <w:p w14:paraId="42EA97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黑体" w:cs="Times New Roman"/>
          <w:sz w:val="32"/>
          <w:szCs w:val="36"/>
          <w:lang w:val="en-US" w:eastAsia="zh-CN"/>
        </w:rPr>
        <w:t>一、履行职责情况</w:t>
      </w:r>
    </w:p>
    <w:p w14:paraId="5E716D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（一）坚持政治统领，持续强化理论武装</w:t>
      </w:r>
    </w:p>
    <w:p w14:paraId="32D3D0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rPr>
      </w:pPr>
      <w:r>
        <w:rPr>
          <w:rFonts w:hint="default" w:ascii="Times New Roman" w:hAnsi="Times New Roman" w:eastAsia="仿宋" w:cs="Times New Roman"/>
          <w:sz w:val="32"/>
          <w:szCs w:val="36"/>
        </w:rPr>
        <w:t>1.</w:t>
      </w:r>
      <w:bookmarkStart w:id="0" w:name="_GoBack"/>
      <w:bookmarkEnd w:id="0"/>
      <w:r>
        <w:rPr>
          <w:rFonts w:hint="default" w:ascii="Times New Roman" w:hAnsi="Times New Roman" w:eastAsia="仿宋" w:cs="Times New Roman"/>
          <w:sz w:val="32"/>
          <w:szCs w:val="36"/>
        </w:rPr>
        <w:t>深化理论武装，筑牢政治忠诚根基：始终将学习贯彻习近平新时代中国特色社会主义思想作为首要政治任务，严格作为首要政治任务，严格执行集中学习、专题研讨、主题党日等制度机制，系统研学党的二十大及历次全会精神、习近平总书记重要讲话重要指示精神，以常态化学习推动理论入脑入心，引导党员干部持续提升政治判断力、政治领悟力、政治执行力。</w:t>
      </w:r>
    </w:p>
    <w:p w14:paraId="B5EF0E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rPr>
      </w:pPr>
      <w:r>
        <w:rPr>
          <w:rFonts w:hint="default" w:ascii="Times New Roman" w:hAnsi="Times New Roman" w:eastAsia="仿宋" w:cs="Times New Roman"/>
          <w:sz w:val="32"/>
          <w:szCs w:val="36"/>
          <w:lang w:val="en-US"/>
        </w:rPr>
        <w:t>2.锤炼过硬作风，厚植务实为民情怀：持续深化中央八项规定精神学习教育，通过警示教育、自查自纠双向发力，推动党员干部树立崇廉、守纪、务实的鲜明导向。健全谈心谈话、批评与自我批评常态化机制，抓早抓小、防微杜渐，让严的要求贯穿日常工作与组织生活各方面。引导党员干部发扬吃苦耐劳精神，将理论学习成果转化为服务基层的实际成效，以实干作风彰显担当作为。</w:t>
      </w:r>
    </w:p>
    <w:p w14:paraId="F020A8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仿宋" w:cs="Times New Roman"/>
          <w:sz w:val="32"/>
          <w:szCs w:val="36"/>
          <w:lang w:val="en-US"/>
        </w:rPr>
        <w:t>3.强化政治引领，凝聚奋进实干共识：把政治引领融入课堂教学、科研实践、组织生活等关键环节，深刻阐释“两个确立”的理论逻辑、历史逻辑、实践逻辑，推动党员干部从思想深处领悟其决定性意义，不断增强“四个意识”、坚定“四个自信”、做到“两个维护”，切实把政治忠诚转化为履职尽责的思想自觉和行动自觉。</w:t>
      </w:r>
    </w:p>
    <w:p w14:paraId="18855F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w:t>
      </w:r>
      <w:r>
        <w:rPr>
          <w:rFonts w:hint="eastAsia" w:eastAsia="楷体" w:cs="Times New Roman"/>
          <w:sz w:val="32"/>
          <w:szCs w:val="36"/>
          <w:lang w:val="en-US" w:eastAsia="zh-CN"/>
        </w:rPr>
        <w:t>二</w:t>
      </w:r>
      <w:r>
        <w:rPr>
          <w:rFonts w:hint="default" w:ascii="Times New Roman" w:hAnsi="Times New Roman" w:eastAsia="楷体" w:cs="Times New Roman"/>
          <w:sz w:val="32"/>
          <w:szCs w:val="36"/>
        </w:rPr>
        <w:t>）服务发展大局，推动党建业务深度融合</w:t>
      </w:r>
    </w:p>
    <w:p w14:paraId="76E4E8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rPr>
        <w:t>1.锚定战略导向，强化政治引领实效：紧密围绕服务国家战略及龙江振兴发展大局，切实履行基层党组织政治把关核心职责，引导支部党员精准把握国家“五大安全”“三基地一屏障一高地”等重大部署内涵。将政治责任深度融入专业建设规划、科研攻关方向、人才培养全过程及社会服务各领域，确保基层党建工作始终与国家发展同频共振，不断提升党建工作的政治方向性和发展引领力。</w:t>
      </w:r>
    </w:p>
    <w:p w14:paraId="854C1F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2.深化党建融合，赋能学院中心工作：坚持以高质量党建引领学院高质量发展，推动支部建设与学科发展、科研创新深度耦合。聚焦课程改革攻坚、科研项目突破、工程训练提质等关键领域，搭建党员教师先锋示范平台，引导党员在教学科研一线亮身份、作表率，以党建“红色引擎”激活学院发展内生动力。</w:t>
      </w:r>
    </w:p>
    <w:p w14:paraId="2788D3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3.聚焦育人本源，构建协同育人体系：深化党建与人才培养深度融合，精准对接学生成长发展需求，常态化开展就业指导、行业前沿宣讲、科研兴趣引导等特色活动。将专业知识传授、价值理念引领与职业规划指导有机结合，引导学生自觉把个人理想追求融入国家战略需求，着力提升党建工作与育人工作的协同联动效应，培养担当民族复兴大任的时代新人。</w:t>
      </w:r>
    </w:p>
    <w:p w14:paraId="2A4ED0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（三）落实重点任务，提升基层党建规范化与战斗力</w:t>
      </w:r>
    </w:p>
    <w:p w14:paraId="2B3DFC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default" w:ascii="Times New Roman" w:hAnsi="Times New Roman" w:eastAsia="楷体" w:cs="Times New Roman"/>
          <w:sz w:val="32"/>
          <w:szCs w:val="36"/>
        </w:rPr>
        <w:t>1.</w:t>
      </w:r>
      <w:r>
        <w:rPr>
          <w:rFonts w:hint="eastAsia" w:ascii="仿宋" w:hAnsi="仿宋" w:eastAsia="仿宋" w:cs="仿宋"/>
          <w:sz w:val="32"/>
          <w:szCs w:val="36"/>
          <w:lang w:val="en-US" w:eastAsia="zh-CN"/>
        </w:rPr>
        <w:t>严格落实《中国共产党普通高等学校基层组织工作条例》，认真执行“三会一课”、组织生活会、民主评议党员等制度，确保组织生活规范严谨。结合《高校党建五年规划》和“党建30条”要求，完成支部年度计划、台账建设和档案整理，使党建工作制度化、程序化、常态化。</w:t>
      </w:r>
    </w:p>
    <w:p w14:paraId="2DD658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2.</w:t>
      </w:r>
      <w:r>
        <w:rPr>
          <w:rFonts w:hint="eastAsia" w:ascii="仿宋" w:hAnsi="仿宋" w:eastAsia="仿宋" w:cs="仿宋"/>
          <w:sz w:val="32"/>
          <w:szCs w:val="36"/>
          <w:lang w:val="en-US" w:eastAsia="zh-CN"/>
        </w:rPr>
        <w:t>扎实推进“对标创优工程”，对照标准全面提升支部建设质量，持续加强班子建设和阵地建设，配齐配强党务工作力量。严格按期完成支部换届、党务培训和相关考核任务，通过规范化建设不断增强支部的组织力、凝聚力和执行力。</w:t>
      </w:r>
    </w:p>
    <w:p w14:paraId="679129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cs="Times New Roman"/>
          <w:sz w:val="32"/>
          <w:szCs w:val="36"/>
          <w:lang w:val="en-US" w:eastAsia="zh-CN"/>
        </w:rPr>
      </w:pPr>
      <w:r>
        <w:rPr>
          <w:rFonts w:hint="eastAsia" w:eastAsia="仿宋" w:cs="Times New Roman"/>
          <w:sz w:val="32"/>
          <w:szCs w:val="36"/>
          <w:lang w:val="en-US" w:eastAsia="zh-CN"/>
        </w:rPr>
        <w:t>3.强化党员教育管理，严格执行党员发展程序，提高发展质量，推动青年教师党员和学生党员全面发展。持续开展谈心谈话、日常管理、线上线下行为规范教育，加强流动党员联系与管理，督促党员在课堂教学、科研突破、社会实践和网络空间自觉发挥先锋作用。</w:t>
      </w:r>
    </w:p>
    <w:p w14:paraId="3C6EA9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 w:cs="Times New Roman"/>
          <w:sz w:val="32"/>
          <w:szCs w:val="36"/>
          <w:lang w:val="en-US" w:eastAsia="zh-CN"/>
        </w:rPr>
      </w:pPr>
      <w:r>
        <w:rPr>
          <w:rFonts w:hint="default" w:ascii="Times New Roman" w:hAnsi="Times New Roman" w:eastAsia="楷体" w:cs="Times New Roman"/>
          <w:sz w:val="32"/>
          <w:szCs w:val="36"/>
          <w:lang w:val="en-US" w:eastAsia="zh-CN"/>
        </w:rPr>
        <w:t>（四）落实全面从严治党要求，发挥第一责任人示范作用</w:t>
      </w:r>
    </w:p>
    <w:p w14:paraId="5ED1CC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 w:cs="Times New Roman"/>
          <w:sz w:val="32"/>
          <w:szCs w:val="36"/>
          <w:lang w:val="en-US" w:eastAsia="zh-CN"/>
        </w:rPr>
      </w:pPr>
      <w:r>
        <w:rPr>
          <w:rFonts w:hint="eastAsia" w:eastAsia="仿宋" w:cs="Times New Roman"/>
          <w:sz w:val="32"/>
          <w:szCs w:val="36"/>
          <w:lang w:val="en-US" w:eastAsia="zh-CN"/>
        </w:rPr>
        <w:t>1.</w:t>
      </w:r>
      <w:r>
        <w:rPr>
          <w:rFonts w:hint="default" w:eastAsia="仿宋" w:cs="Times New Roman"/>
          <w:sz w:val="32"/>
          <w:szCs w:val="36"/>
          <w:lang w:val="en-US" w:eastAsia="zh-CN"/>
        </w:rPr>
        <w:t>认真履行基层党建第一责任人责任，坚持把抓党建摆在首要位置。</w:t>
      </w:r>
    </w:p>
    <w:p w14:paraId="106C14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 w:cs="Times New Roman"/>
          <w:sz w:val="32"/>
          <w:szCs w:val="36"/>
          <w:lang w:val="en-US" w:eastAsia="zh-CN"/>
        </w:rPr>
      </w:pPr>
      <w:r>
        <w:rPr>
          <w:rFonts w:hint="eastAsia" w:eastAsia="仿宋" w:cs="Times New Roman"/>
          <w:sz w:val="32"/>
          <w:szCs w:val="36"/>
          <w:lang w:val="en-US" w:eastAsia="zh-CN"/>
        </w:rPr>
        <w:t>2.</w:t>
      </w:r>
      <w:r>
        <w:rPr>
          <w:rFonts w:hint="eastAsia" w:ascii="仿宋" w:hAnsi="仿宋" w:eastAsia="仿宋" w:cs="仿宋"/>
          <w:sz w:val="32"/>
          <w:szCs w:val="36"/>
          <w:lang w:val="en-US" w:eastAsia="zh-CN"/>
        </w:rPr>
        <w:t>对上年度述职评议和巡察反馈的问题建立整改台账，将 “科技服务基层、支部服务社会发展”纳入整改提升方向。通过对实践路线优化、调研内容深化和成果转化机制完善，推动党建与科技服务基层形成有效闭环。</w:t>
      </w:r>
    </w:p>
    <w:p w14:paraId="7B08B0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 w:cs="Times New Roman"/>
          <w:sz w:val="32"/>
          <w:szCs w:val="36"/>
          <w:lang w:val="en-US" w:eastAsia="zh-CN"/>
        </w:rPr>
      </w:pPr>
      <w:r>
        <w:rPr>
          <w:rFonts w:hint="eastAsia" w:eastAsia="仿宋" w:cs="Times New Roman"/>
          <w:sz w:val="32"/>
          <w:szCs w:val="36"/>
          <w:lang w:val="en-US" w:eastAsia="zh-CN"/>
        </w:rPr>
        <w:t>3.</w:t>
      </w:r>
      <w:r>
        <w:rPr>
          <w:rFonts w:hint="default" w:eastAsia="仿宋" w:cs="Times New Roman"/>
          <w:sz w:val="32"/>
          <w:szCs w:val="36"/>
          <w:lang w:val="en-US" w:eastAsia="zh-CN"/>
        </w:rPr>
        <w:t>持续推进党风廉政建设，强化党员纪律</w:t>
      </w:r>
      <w:r>
        <w:rPr>
          <w:rFonts w:hint="eastAsia" w:eastAsia="仿宋" w:cs="Times New Roman"/>
          <w:sz w:val="32"/>
          <w:szCs w:val="36"/>
          <w:lang w:val="en-US" w:eastAsia="zh-CN"/>
        </w:rPr>
        <w:t>，</w:t>
      </w:r>
      <w:r>
        <w:rPr>
          <w:rFonts w:hint="default" w:eastAsia="仿宋" w:cs="Times New Roman"/>
          <w:sz w:val="32"/>
          <w:szCs w:val="36"/>
          <w:lang w:val="en-US" w:eastAsia="zh-CN"/>
        </w:rPr>
        <w:t>使全面从严治党要求贯穿支部实践育人的全过程。</w:t>
      </w:r>
    </w:p>
    <w:p w14:paraId="4BD881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黑体" w:cs="Times New Roman"/>
          <w:sz w:val="32"/>
          <w:szCs w:val="36"/>
          <w:lang w:val="en-US" w:eastAsia="zh-CN"/>
        </w:rPr>
        <w:t>二、上年度问题整改落实情况</w:t>
      </w:r>
    </w:p>
    <w:p w14:paraId="1D90CD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（一）针对理论学习实效不足问题，强化学习方式与监督机制</w:t>
      </w:r>
    </w:p>
    <w:p w14:paraId="30026D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eastAsia" w:ascii="仿宋" w:hAnsi="仿宋" w:eastAsia="仿宋" w:cs="仿宋"/>
          <w:sz w:val="32"/>
          <w:szCs w:val="36"/>
        </w:rPr>
        <w:t>围绕去年“理论学习形式单一、学生党员参与主动性不高”的问题，支部重点从学习形式和学习监督两方面开展整改。一是调整学习方式，增加视频课堂、学习强国积分挑战、政策情境讨论等青年党员更易接受的互动式学习，减少“念文件式”教学，使理论学习更具吸引力和代入感。二是建立学习任务清单和个人年度理论学习小结制度，由支委一对一督促学习进度，实现“有人提醒、有人检查、有人反馈”。三是在课程思政、科研讨论和暑期实践中同步融入理论学习，促使党员将理论运用于专业学习与社会观察中，切实提升理论联系实际的能力。</w:t>
      </w:r>
    </w:p>
    <w:p w14:paraId="3FEB08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楷体" w:cs="Times New Roman"/>
          <w:sz w:val="32"/>
          <w:szCs w:val="36"/>
        </w:rPr>
        <w:t>（二）针对活动创新不足问题，改进主题党日设计与参与机制</w:t>
      </w:r>
    </w:p>
    <w:p w14:paraId="0C7E50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eastAsia" w:ascii="仿宋" w:hAnsi="仿宋" w:eastAsia="仿宋" w:cs="仿宋"/>
          <w:sz w:val="32"/>
          <w:szCs w:val="36"/>
        </w:rPr>
        <w:t>对去年“活动形式单调、对不同年级吸引力不足”的问题，支部重点开展活动创新整改。一是优化主题党日内容，结合青年党员兴趣与专业特点，新增“学生讲微党课”等形式，提升活动吸引力。二是建立分层分类活动机制，对低年级学生增加入党动机教育与成长导航，对高年级学生增加就业引导、科研分享与专业服务型党日，提高匹配度。三是建立参与激励方式，将活动表现纳入年度评议，并设立“主题党日优秀参与者”展示区，提高参与的获得感。通过这些举措，支部活动参与度提升、活动质量明显改善。</w:t>
      </w:r>
    </w:p>
    <w:p w14:paraId="7EE31B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楷体" w:cs="Times New Roman"/>
          <w:sz w:val="32"/>
          <w:szCs w:val="36"/>
        </w:rPr>
        <w:t>（三）针对党员示范作用不突出和党务能力不足问题，强化责任落实与业务培训</w:t>
      </w:r>
    </w:p>
    <w:p w14:paraId="534395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eastAsia" w:ascii="仿宋" w:hAnsi="仿宋" w:eastAsia="仿宋" w:cs="仿宋"/>
          <w:sz w:val="32"/>
          <w:szCs w:val="36"/>
        </w:rPr>
        <w:t>为解决“党员示范效应不明显、党务工作者能力欠缺”的问题，支部重点从责任压实和能力提升两方面开展整改。一是落实党员示范岗制度，明确每名党员在学习科研、志愿服务、寝室风气建设等方面的具体责任，确保党员在关键环节“站得出、靠得住”。二是针对个别学生党员在科研任务、日常纪律中的表现不够突出情况，实施提醒与跟踪机制，由支委进行谈心谈话，督促其改进。三是强化党务干部培训，组织党务工作者参加学校党务培训班，并进行文件写作、会议记录、活动策划专项辅导，缓解“摸着石头过河”的情况。通过整改，党员先锋意识明显增强，党务工作规范性和执行力得到有效提升。</w:t>
      </w:r>
    </w:p>
    <w:p w14:paraId="5C94F6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6"/>
        </w:rPr>
      </w:pPr>
      <w:r>
        <w:rPr>
          <w:rFonts w:hint="default" w:ascii="Times New Roman" w:hAnsi="Times New Roman" w:eastAsia="黑体" w:cs="Times New Roman"/>
          <w:sz w:val="32"/>
          <w:szCs w:val="36"/>
          <w:lang w:val="en-US" w:eastAsia="zh-CN"/>
        </w:rPr>
        <w:t>三、</w:t>
      </w:r>
      <w:r>
        <w:rPr>
          <w:rFonts w:hint="default" w:ascii="Times New Roman" w:hAnsi="Times New Roman" w:eastAsia="黑体" w:cs="Times New Roman"/>
          <w:sz w:val="32"/>
          <w:szCs w:val="36"/>
        </w:rPr>
        <w:t>存在的主要问题及原因</w:t>
      </w:r>
    </w:p>
    <w:p w14:paraId="41DF0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cs="Times New Roman"/>
          <w:sz w:val="32"/>
          <w:szCs w:val="36"/>
          <w:lang w:val="en-US" w:eastAsia="zh-CN"/>
        </w:rPr>
      </w:pPr>
      <w:r>
        <w:rPr>
          <w:rFonts w:hint="eastAsia" w:eastAsia="仿宋" w:cs="Times New Roman"/>
          <w:sz w:val="32"/>
          <w:szCs w:val="36"/>
          <w:lang w:val="en-US" w:eastAsia="zh-CN"/>
        </w:rPr>
        <w:t>主要问题</w:t>
      </w:r>
      <w:r>
        <w:rPr>
          <w:rFonts w:hint="default" w:ascii="Times New Roman" w:hAnsi="Times New Roman" w:eastAsia="仿宋" w:cs="Times New Roman"/>
          <w:sz w:val="32"/>
          <w:szCs w:val="36"/>
        </w:rPr>
        <w:t>：一是支部在党建工作品牌化建设方面成果不够突出，特色凝练仍处于初级阶段，与学院专业优势结合的深度和影响力有待加强</w:t>
      </w:r>
      <w:r>
        <w:rPr>
          <w:rFonts w:hint="eastAsia" w:eastAsia="仿宋" w:cs="Times New Roman"/>
          <w:sz w:val="32"/>
          <w:szCs w:val="36"/>
          <w:lang w:eastAsia="zh-CN"/>
        </w:rPr>
        <w:t>；二是部分党员对参与学校重点工作（如科技竞赛指导、基层调研、志愿服务等）的主动性不足，支部整体服务学校中心工作的贡献度仍有提升空间；三是支部线上阵地建设不够系统，宣传方式较为分散，未能形成统一、有力度的传播矩阵，影响支部活动与成果在师生群体中的辐射度。</w:t>
      </w:r>
    </w:p>
    <w:p w14:paraId="19DF8C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6"/>
        </w:rPr>
      </w:pPr>
      <w:r>
        <w:rPr>
          <w:rFonts w:hint="default" w:ascii="Times New Roman" w:hAnsi="Times New Roman" w:eastAsia="仿宋" w:cs="Times New Roman"/>
          <w:sz w:val="32"/>
          <w:szCs w:val="36"/>
        </w:rPr>
        <w:t>主要原因：</w:t>
      </w:r>
      <w:r>
        <w:rPr>
          <w:rFonts w:hint="eastAsia" w:ascii="仿宋" w:hAnsi="仿宋" w:eastAsia="仿宋" w:cs="仿宋"/>
          <w:sz w:val="32"/>
          <w:szCs w:val="36"/>
        </w:rPr>
        <w:t>一是党建品牌打造缺乏系统规划，尚未形成“长期目标＋年度任务”的推进机制，导致成果不够集中</w:t>
      </w:r>
      <w:r>
        <w:rPr>
          <w:rFonts w:hint="eastAsia" w:ascii="仿宋" w:hAnsi="仿宋" w:eastAsia="仿宋" w:cs="仿宋"/>
          <w:sz w:val="32"/>
          <w:szCs w:val="36"/>
          <w:lang w:eastAsia="zh-CN"/>
        </w:rPr>
        <w:t>；</w:t>
      </w:r>
      <w:r>
        <w:rPr>
          <w:rFonts w:hint="eastAsia" w:ascii="仿宋" w:hAnsi="仿宋" w:eastAsia="仿宋" w:cs="仿宋"/>
          <w:sz w:val="32"/>
          <w:szCs w:val="36"/>
        </w:rPr>
        <w:t>二是党员任务分工还不够明确，激励措施不足，导致部分党员在承担学校重点任务时动力不强、参与深度不足</w:t>
      </w:r>
      <w:r>
        <w:rPr>
          <w:rFonts w:hint="eastAsia" w:ascii="仿宋" w:hAnsi="仿宋" w:eastAsia="仿宋" w:cs="仿宋"/>
          <w:sz w:val="32"/>
          <w:szCs w:val="36"/>
          <w:lang w:eastAsia="zh-CN"/>
        </w:rPr>
        <w:t>；</w:t>
      </w:r>
      <w:r>
        <w:rPr>
          <w:rFonts w:hint="eastAsia" w:ascii="仿宋" w:hAnsi="仿宋" w:eastAsia="仿宋" w:cs="仿宋"/>
          <w:sz w:val="32"/>
          <w:szCs w:val="36"/>
        </w:rPr>
        <w:t>三是支部对新媒体平台管理缺乏专人负责，内容策划与发布不够统一，宣传效能未能完全发挥，影响支部工作的外部展示与内部凝聚。</w:t>
      </w:r>
    </w:p>
    <w:p w14:paraId="0343CD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6"/>
          <w:lang w:val="en-US" w:eastAsia="zh-CN"/>
        </w:rPr>
      </w:pPr>
      <w:r>
        <w:rPr>
          <w:rFonts w:hint="default" w:ascii="Times New Roman" w:hAnsi="Times New Roman" w:eastAsia="黑体" w:cs="Times New Roman"/>
          <w:sz w:val="32"/>
          <w:szCs w:val="36"/>
          <w:lang w:val="en-US" w:eastAsia="zh-CN"/>
        </w:rPr>
        <w:t>四、下步工作思路和主要措施</w:t>
      </w:r>
    </w:p>
    <w:p w14:paraId="45E0BA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6"/>
        </w:rPr>
      </w:pPr>
      <w:r>
        <w:rPr>
          <w:rFonts w:hint="eastAsia" w:ascii="楷体" w:hAnsi="楷体" w:eastAsia="楷体" w:cs="楷体"/>
          <w:sz w:val="32"/>
          <w:szCs w:val="36"/>
          <w:lang w:eastAsia="zh-CN"/>
        </w:rPr>
        <w:t>（一）</w:t>
      </w:r>
      <w:r>
        <w:rPr>
          <w:rFonts w:hint="eastAsia" w:ascii="楷体" w:hAnsi="楷体" w:eastAsia="楷体" w:cs="楷体"/>
          <w:sz w:val="32"/>
          <w:szCs w:val="36"/>
        </w:rPr>
        <w:t>围绕质量提升，加强党建品牌建设的系统化推进</w:t>
      </w:r>
    </w:p>
    <w:p w14:paraId="3978893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eastAsia" w:eastAsia="仿宋" w:cs="Times New Roman"/>
          <w:sz w:val="32"/>
          <w:szCs w:val="36"/>
          <w:lang w:eastAsia="zh-CN"/>
        </w:rPr>
        <w:t>制定支部党建品牌培育方案，明确“三年建设目标＋年度任务清单”，重点围绕学科特色，将课程思政、科研团队共建等要素整合成可复制的品牌模型。完善品牌活动记录、案例总结和成果展示机制，每季度开展一次品牌成果复盘，形成可推广、可评估的品牌建设路径，提高支部建设的特色化和影响力。</w:t>
      </w:r>
    </w:p>
    <w:p w14:paraId="48BD1C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6"/>
        </w:rPr>
      </w:pPr>
      <w:r>
        <w:rPr>
          <w:rFonts w:hint="eastAsia" w:ascii="楷体" w:hAnsi="楷体" w:eastAsia="楷体" w:cs="楷体"/>
          <w:sz w:val="32"/>
          <w:szCs w:val="36"/>
          <w:lang w:eastAsia="zh-CN"/>
        </w:rPr>
        <w:t>（二）</w:t>
      </w:r>
      <w:r>
        <w:rPr>
          <w:rFonts w:hint="eastAsia" w:ascii="楷体" w:hAnsi="楷体" w:eastAsia="楷体" w:cs="楷体"/>
          <w:sz w:val="32"/>
          <w:szCs w:val="36"/>
        </w:rPr>
        <w:t>围绕党员作用发挥，建立责任清单和激励机制</w:t>
      </w:r>
    </w:p>
    <w:p w14:paraId="5C83EA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cs="Times New Roman"/>
          <w:sz w:val="32"/>
          <w:szCs w:val="36"/>
          <w:lang w:eastAsia="zh-CN"/>
        </w:rPr>
      </w:pPr>
      <w:r>
        <w:rPr>
          <w:rFonts w:hint="eastAsia" w:eastAsia="仿宋" w:cs="Times New Roman"/>
          <w:sz w:val="32"/>
          <w:szCs w:val="36"/>
          <w:lang w:eastAsia="zh-CN"/>
        </w:rPr>
        <w:t>为解决党员参与重点任务动力不强的问题，制定《学生党员岗位责任清单》，将科研参与、志愿服务、学风建设、宿舍管理等具体任务量化到人，并与年度评议挂钩。探索“党员先锋指数”考核方式，对表现突出者给予通报表扬、推优入党或评奖加分支持；对履责不到位者实行提醒、限期改进制度，使党员作用发挥更加具体、可衡量、可监督。</w:t>
      </w:r>
    </w:p>
    <w:p w14:paraId="506692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6"/>
        </w:rPr>
      </w:pPr>
      <w:r>
        <w:rPr>
          <w:rFonts w:hint="eastAsia" w:ascii="楷体" w:hAnsi="楷体" w:eastAsia="楷体" w:cs="楷体"/>
          <w:sz w:val="32"/>
          <w:szCs w:val="36"/>
          <w:lang w:eastAsia="zh-CN"/>
        </w:rPr>
        <w:t>（三）</w:t>
      </w:r>
      <w:r>
        <w:rPr>
          <w:rFonts w:hint="eastAsia" w:ascii="楷体" w:hAnsi="楷体" w:eastAsia="楷体" w:cs="楷体"/>
          <w:sz w:val="32"/>
          <w:szCs w:val="36"/>
        </w:rPr>
        <w:t>围绕宣传阵地建设，打造统一规范的线上传播矩阵</w:t>
      </w:r>
    </w:p>
    <w:p w14:paraId="385E20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eastAsia="zh-CN"/>
        </w:rPr>
      </w:pPr>
      <w:r>
        <w:rPr>
          <w:rFonts w:hint="eastAsia" w:eastAsia="仿宋" w:cs="Times New Roman"/>
          <w:sz w:val="32"/>
          <w:szCs w:val="36"/>
          <w:lang w:eastAsia="zh-CN"/>
        </w:rPr>
        <w:t>支部设立“党建宣传专员”，负责内容策划、发布和素材统筹，统一管理微信公众号、学院官网投稿、班群推送等平台。建立活动即时记录制度，做到每次学习、实践、志愿活动均能形成文字、图片或短视频成果。同步开展“微党课”“党员讲故事”等线上宣传内容，提高支部活动的展示度与影响力，增强党员的归属感和参与度。</w:t>
      </w:r>
    </w:p>
    <w:sectPr>
      <w:footerReference r:id="rId3" w:type="default"/>
      <w:pgSz w:w="11906" w:h="16838"/>
      <w:pgMar w:top="1701" w:right="1701" w:bottom="1701" w:left="1701" w:header="851" w:footer="992" w:gutter="0"/>
      <w:pgNumType w:fmt="decimal"/>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54F09">
    <w:pPr>
      <w:pStyle w:val="3"/>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36C11975">
                          <w:pPr>
                            <w:pStyle w:val="3"/>
                            <w:rPr>
                              <w:sz w:val="28"/>
                              <w:szCs w:val="40"/>
                            </w:rPr>
                          </w:pPr>
                          <w:r>
                            <w:rPr>
                              <w:sz w:val="28"/>
                              <w:szCs w:val="40"/>
                            </w:rPr>
                            <w:fldChar w:fldCharType="begin"/>
                          </w:r>
                          <w:r>
                            <w:rPr>
                              <w:sz w:val="28"/>
                              <w:szCs w:val="40"/>
                            </w:rPr>
                            <w:instrText xml:space="preserve"> PAGE  \* MERGEFORMAT </w:instrText>
                          </w:r>
                          <w:r>
                            <w:rPr>
                              <w:sz w:val="28"/>
                              <w:szCs w:val="40"/>
                            </w:rPr>
                            <w:fldChar w:fldCharType="separate"/>
                          </w:r>
                          <w:r>
                            <w:rPr>
                              <w:sz w:val="28"/>
                              <w:szCs w:val="40"/>
                            </w:rPr>
                            <w:t>1</w:t>
                          </w:r>
                          <w:r>
                            <w:rPr>
                              <w:sz w:val="28"/>
                              <w:szCs w:val="40"/>
                            </w:rPr>
                            <w:fldChar w:fldCharType="end"/>
                          </w:r>
                        </w:p>
                      </w:txbxContent>
                    </wps:txbx>
                    <wps:bodyPr vert="horz" wrap="none" lIns="0" tIns="0" rIns="0" bIns="0" anchor="t"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EySV/7SAQAAn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8jZMYA+dHmSEg0Mb4+RqGSeqfHYbeJDz5aVTiOW5uLvPJ96+K22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5dblS0AAAAAUBAAAPAAAAAAAAAAEAIAAAACIAAABkcnMv&#10;ZG93bnJldi54bWxQSwECFAAUAAAACACHTuJATJJX/tIBAACeAwAADgAAAAAAAAABACAAAAAfAQAA&#10;ZHJzL2Uyb0RvYy54bWxQSwUGAAAAAAYABgBZAQAAYwUAAAAA&#10;">
              <v:fill on="f" focussize="0,0"/>
              <v:stroke on="f"/>
              <v:imagedata o:title=""/>
              <o:lock v:ext="edit" aspectratio="f"/>
              <v:textbox inset="0mm,0mm,0mm,0mm" style="mso-fit-shape-to-text:t;">
                <w:txbxContent>
                  <w:p w14:paraId="36C11975">
                    <w:pPr>
                      <w:pStyle w:val="3"/>
                      <w:rPr>
                        <w:sz w:val="28"/>
                        <w:szCs w:val="40"/>
                      </w:rPr>
                    </w:pPr>
                    <w:r>
                      <w:rPr>
                        <w:sz w:val="28"/>
                        <w:szCs w:val="40"/>
                      </w:rPr>
                      <w:fldChar w:fldCharType="begin"/>
                    </w:r>
                    <w:r>
                      <w:rPr>
                        <w:sz w:val="28"/>
                        <w:szCs w:val="40"/>
                      </w:rPr>
                      <w:instrText xml:space="preserve"> PAGE  \* MERGEFORMAT </w:instrText>
                    </w:r>
                    <w:r>
                      <w:rPr>
                        <w:sz w:val="28"/>
                        <w:szCs w:val="40"/>
                      </w:rPr>
                      <w:fldChar w:fldCharType="separate"/>
                    </w:r>
                    <w:r>
                      <w:rPr>
                        <w:sz w:val="28"/>
                        <w:szCs w:val="40"/>
                      </w:rPr>
                      <w:t>1</w:t>
                    </w:r>
                    <w:r>
                      <w:rPr>
                        <w:sz w:val="28"/>
                        <w:szCs w:val="40"/>
                      </w:rP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5F04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6"/>
    <w:basedOn w:val="1"/>
    <w:next w:val="1"/>
    <w:qFormat/>
    <w:uiPriority w:val="0"/>
    <w:pPr>
      <w:keepNext/>
      <w:keepLines/>
      <w:spacing w:before="240" w:beforeAutospacing="0" w:after="64" w:afterAutospacing="0" w:line="317" w:lineRule="auto"/>
      <w:outlineLvl w:val="5"/>
    </w:pPr>
    <w:rPr>
      <w:rFonts w:ascii="Arial" w:hAnsi="Arial" w:eastAsia="黑体"/>
      <w:b/>
      <w:sz w:val="24"/>
    </w:rPr>
  </w:style>
  <w:style w:type="character" w:default="1" w:styleId="7">
    <w:name w:val="Default Paragraph Font"/>
    <w:qFormat/>
    <w:uiPriority w:val="0"/>
  </w:style>
  <w:style w:type="table" w:default="1" w:styleId="6">
    <w:name w:val="Normal Table"/>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1ba9be53-9c5c-4429-9b49-b06a21d0ed16</errorID>
      <errorWord>......</errorWord>
      <group>L1_Punc</group>
      <groupName>标点问题</groupName>
      <ability>L2_Punc</ability>
      <abilityName>标点符号检查</abilityName>
      <candidateList>
        <item>……</item>
      </candidateList>
      <explain>省略号错误。</explain>
      <paraID>41DF0313</paraID>
      <start>7</start>
      <end>9</end>
      <status>modified</status>
      <modifiedWord>……</modifiedWord>
      <trackRevisions>false</trackRevisions>
    </reviewItem>
    <reviewItem>
      <errorID>01874dc6-4078-405e-a93a-3efaa234b4ef</errorID>
      <errorWord>......</errorWord>
      <group>L1_Punc</group>
      <groupName>标点问题</groupName>
      <ability>L2_Punc</ability>
      <abilityName>标点符号检查</abilityName>
      <candidateList>
        <item>……</item>
      </candidateList>
      <explain>省略号错误。</explain>
      <paraID>19DF8CC9</paraID>
      <start>7</start>
      <end>9</end>
      <status>modified</status>
      <modifiedWord>……</modifiedWord>
      <trackRevisions>false</trackRevisions>
    </reviewItem>
    <reviewItem>
      <errorID>9497f24a-bff0-49ba-a44d-51da9768e578</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45E0BA72</paraID>
      <start>0</start>
      <end>3</end>
      <status>modified</status>
      <modifiedWord>（一）</modifiedWord>
      <trackRevisions>false</trackRevisions>
    </reviewItem>
    <reviewItem>
      <errorID>e581b783-e1da-4e73-89fd-301eefee65dc</errorID>
      <errorWord>(</errorWord>
      <group>L1_Format</group>
      <groupName>格式问题</groupName>
      <ability>L2_HalfPunc</ability>
      <abilityName>全半角检查</abilityName>
      <candidateList>
        <item>（</item>
      </candidateList>
      <explain>文本全半角错误。</explain>
      <paraID>39788933</paraID>
      <start>0</start>
      <end>1</end>
      <status>modified</status>
      <modifiedWord>（</modifiedWord>
      <trackRevisions>false</trackRevisions>
    </reviewItem>
    <reviewItem>
      <errorID>29cbcdda-ae7a-4557-98ff-d6e4db541c87</errorID>
      <errorWord>)</errorWord>
      <group>L1_Format</group>
      <groupName>格式问题</groupName>
      <ability>L2_HalfPunc</ability>
      <abilityName>全半角检查</abilityName>
      <candidateList>
        <item>）</item>
      </candidateList>
      <explain>文本全半角错误。</explain>
      <paraID>39788933</paraID>
      <start>14</start>
      <end>15</end>
      <status>modified</status>
      <modifiedWord>）</modifiedWord>
      <trackRevisions>false</trackRevisions>
    </reviewItem>
    <reviewItem>
      <errorID>dd017eb9-539d-476c-b69d-cd0f8b16fdc3</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48BD1CEE</paraID>
      <start>0</start>
      <end>3</end>
      <status>modified</status>
      <modifiedWord>（二）</modifiedWord>
      <trackRevisions>false</trackRevisions>
    </reviewItem>
    <reviewItem>
      <errorID>1e6bf8b1-650c-4ce7-a319-d57d70f1f61e</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50669285</paraID>
      <start>0</start>
      <end>3</end>
      <status>modified</status>
      <modifiedWord>（三）</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23ced-4d47-4069-a40f-7eee97d374e2}">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3280</Words>
  <Characters>3294</Characters>
  <Paragraphs>40</Paragraphs>
  <TotalTime>61</TotalTime>
  <ScaleCrop>false</ScaleCrop>
  <LinksUpToDate>false</LinksUpToDate>
  <CharactersWithSpaces>3303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2023-04-14T09:43:00Z</dcterms:created>
  <dc:creator>wang</dc:creator>
  <cp:lastModifiedBy>Yuxuan薄</cp:lastModifiedBy>
  <dcterms:modified xsi:type="dcterms:W3CDTF">2025-12-10T05:59:27Z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0131F3513C2D49BA88CDECCE2DF03E79_13</vt:lpwstr>
  </property>
  <property fmtid="{D5CDD505-2E9C-101B-9397-08002B2CF9AE}" pid="4" name="KSOTemplateDocerSaveRecord">
    <vt:lpwstr>eyJoZGlkIjoiMTE2ZTljOTY5NWZiNzc5ZTVmNGY1YTg2ZTUwMzgwYzQiLCJ1c2VySWQiOiIxMjgwMTUyNzAyIn0=</vt:lpwstr>
  </property>
</Properties>
</file>